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A VIDÁMPARKOKBAN </w:t>
      </w:r>
      <w:proofErr w:type="gramStart"/>
      <w:r>
        <w:rPr>
          <w:b/>
          <w:sz w:val="28"/>
        </w:rPr>
        <w:t>ÉS</w:t>
      </w:r>
      <w:proofErr w:type="gramEnd"/>
      <w:r>
        <w:rPr>
          <w:b/>
          <w:sz w:val="28"/>
        </w:rPr>
        <w:t xml:space="preserve"> RENDEZVÉNYEKEN HASZNÁLT MUTATVÁNYOS BERENDEZÉSEKRE VONATKOZÓ KÜLÖNLEGES ELŐÍRÁSOK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Napjainkban már egy falunap sem képzelhető el körhinta, dodgem vagy éppen céllövölde nélkül. Az ilyen rendezvényeken és </w:t>
      </w:r>
      <w:proofErr w:type="gramStart"/>
      <w:r>
        <w:rPr>
          <w:rFonts w:ascii="Calibri" w:hAnsi="Calibri" w:cs="Calibri"/>
          <w:sz w:val="24"/>
          <w:szCs w:val="24"/>
        </w:rPr>
        <w:t>fixen</w:t>
      </w:r>
      <w:proofErr w:type="gramEnd"/>
      <w:r>
        <w:rPr>
          <w:rFonts w:ascii="Calibri" w:hAnsi="Calibri" w:cs="Calibri"/>
          <w:sz w:val="24"/>
          <w:szCs w:val="24"/>
        </w:rPr>
        <w:t xml:space="preserve"> telepített helyeken (vidámpark) használt mutatványos berendezések az általuk végzett különleges mozgások és legfőképpen az azt használatba vevő közönség életének és testi épségének a megóvása okán ezekre a szerkezetekre külön jogszabályi előírások vonatkoznak. A vonatkozó szabályozást a 7/2007. (I.22.) GKM </w:t>
      </w:r>
      <w:r>
        <w:rPr>
          <w:rFonts w:ascii="Calibri" w:hAnsi="Calibri" w:cs="Calibri"/>
          <w:sz w:val="24"/>
          <w:szCs w:val="24"/>
        </w:rPr>
        <w:t>rendelet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a mutatványos berendezések biztonságosságáról</w:t>
      </w:r>
      <w:r>
        <w:rPr>
          <w:rFonts w:ascii="Calibri" w:hAnsi="Calibri" w:cs="Calibri"/>
          <w:sz w:val="24"/>
          <w:szCs w:val="24"/>
        </w:rPr>
        <w:t xml:space="preserve">) tartalmazza. Ezen felül, természetesen alkalmazni kell a 10/2016. </w:t>
      </w:r>
      <w:r>
        <w:rPr>
          <w:rFonts w:ascii="Calibri" w:hAnsi="Calibri" w:cs="Calibri"/>
          <w:sz w:val="24"/>
          <w:szCs w:val="24"/>
        </w:rPr>
        <w:t>(IV. 5.) NGM rendelet</w:t>
      </w:r>
      <w:r>
        <w:rPr>
          <w:rFonts w:ascii="Calibri" w:hAnsi="Calibri" w:cs="Calibri"/>
          <w:sz w:val="24"/>
          <w:szCs w:val="24"/>
        </w:rPr>
        <w:t>et (</w:t>
      </w:r>
      <w:r>
        <w:rPr>
          <w:rFonts w:ascii="Calibri" w:hAnsi="Calibri" w:cs="Calibri"/>
          <w:sz w:val="24"/>
          <w:szCs w:val="24"/>
        </w:rPr>
        <w:t xml:space="preserve">a munkaeszközök és használatuk biztonsági és egészségügyi követelményeinek </w:t>
      </w:r>
      <w:proofErr w:type="gramStart"/>
      <w:r>
        <w:rPr>
          <w:rFonts w:ascii="Calibri" w:hAnsi="Calibri" w:cs="Calibri"/>
          <w:sz w:val="24"/>
          <w:szCs w:val="24"/>
        </w:rPr>
        <w:t>minimális</w:t>
      </w:r>
      <w:proofErr w:type="gramEnd"/>
      <w:r>
        <w:rPr>
          <w:rFonts w:ascii="Calibri" w:hAnsi="Calibri" w:cs="Calibri"/>
          <w:sz w:val="24"/>
          <w:szCs w:val="24"/>
        </w:rPr>
        <w:t xml:space="preserve"> szintjéről</w:t>
      </w:r>
      <w:r>
        <w:rPr>
          <w:rFonts w:ascii="Calibri" w:hAnsi="Calibri" w:cs="Calibri"/>
          <w:sz w:val="24"/>
          <w:szCs w:val="24"/>
        </w:rPr>
        <w:t>) is, mivel a különleges feltételeken kívüli általános előírásokat az tartalmazza az össze gépre és berendezésre vonatkozóan.</w:t>
      </w:r>
    </w:p>
    <w:p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Mutatványos berendezések használatára, üzembe helyezésére vonatkozó előírások:</w:t>
      </w:r>
    </w:p>
    <w:p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Minden mutatványos berendezést az üzemeltető műszaki vizsgálata céljából köteles bemutatni a vizsgáló szervezetnek: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az első használatbavétel előtt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mutatványos berendezés olyan javítását, átalakítását követően, amely hatással van a berendezés műszaki, biztonsági állapotára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berendezés okozta baleset esetén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ismeretlen eredetű meghibásodás esetén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veszélyességi osztálya szerint meghatározott időszakonként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ideiglenes behozatalt megelőzően</w:t>
      </w:r>
    </w:p>
    <w:p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az I. veszélyességi osztályba tartozó mutatványos berendezések esetén minden telepítést követően</w:t>
      </w:r>
    </w:p>
    <w:p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Mutatványos berendezések osztályozása:</w:t>
      </w:r>
    </w:p>
    <w:p>
      <w:pPr>
        <w:pStyle w:val="Listaszerbekezds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I. veszélyességi osztályba tartozó berendezések:</w:t>
      </w:r>
    </w:p>
    <w:p>
      <w:pPr>
        <w:pStyle w:val="Listaszerbekezds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Minden olyan mutatványos berendezés, amelynek magassága (kivéve a II. osztályba felsorolt berendezések), vagy emelési magassága 5 méternél nagyobb, vagy működési sebessége a 10 m/s (36 km/óra) értéket meghaladja, vagy gyorsulása 10 m/s2-nél nagyobb.</w:t>
      </w:r>
    </w:p>
    <w:p>
      <w:pPr>
        <w:pStyle w:val="Listaszerbekezds"/>
        <w:jc w:val="both"/>
        <w:rPr>
          <w:rFonts w:ascii="Calibri" w:hAnsi="Calibri" w:cs="Calibri"/>
          <w:sz w:val="24"/>
          <w:szCs w:val="24"/>
        </w:rPr>
      </w:pPr>
    </w:p>
    <w:p>
      <w:pPr>
        <w:pStyle w:val="Listaszerbekezds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Ide tartoznak </w:t>
      </w:r>
      <w:proofErr w:type="gramStart"/>
      <w:r>
        <w:rPr>
          <w:rFonts w:ascii="Calibri" w:hAnsi="Calibri" w:cs="Calibri"/>
          <w:sz w:val="24"/>
          <w:szCs w:val="24"/>
          <w:u w:val="single"/>
        </w:rPr>
        <w:t>a</w:t>
      </w:r>
      <w:proofErr w:type="gramEnd"/>
      <w:r>
        <w:rPr>
          <w:rFonts w:ascii="Calibri" w:hAnsi="Calibri" w:cs="Calibri"/>
          <w:sz w:val="24"/>
          <w:szCs w:val="24"/>
          <w:u w:val="single"/>
        </w:rPr>
        <w:t>: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forgóhinta,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átfordulós hinta,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motoros hajóhinta,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keringő körhinták (csészealj, twistar, haligali, ciklon stb.),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hullámvasút,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gumiköteles toronyugró és kilövő berendezés (Bungee-jumping),</w:t>
      </w:r>
    </w:p>
    <w:p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magaslati kötélpálya, ideértve a kalandparkot is.</w:t>
      </w:r>
    </w:p>
    <w:p>
      <w:pPr>
        <w:ind w:left="708"/>
        <w:jc w:val="both"/>
        <w:rPr>
          <w:rFonts w:ascii="Calibri" w:hAnsi="Calibri" w:cs="Calibri"/>
          <w:sz w:val="24"/>
          <w:szCs w:val="24"/>
          <w:u w:val="single"/>
        </w:rPr>
      </w:pPr>
    </w:p>
    <w:p>
      <w:pPr>
        <w:ind w:left="708"/>
        <w:jc w:val="both"/>
        <w:rPr>
          <w:rFonts w:ascii="Calibri" w:hAnsi="Calibri" w:cs="Calibri"/>
          <w:sz w:val="24"/>
          <w:szCs w:val="24"/>
          <w:u w:val="single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  <w:u w:val="single"/>
        </w:rPr>
        <w:lastRenderedPageBreak/>
        <w:t>II. veszélyességi osztályba tartozó berendezések: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Lánckörhinta,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hernyó körhinta,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óriáskerék,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gokart, quad pálya,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dodgem,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vízi ejtőcsónak,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elvarázsolt kastély (szellemvasút),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vízifoci,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térélményt nyújtó szerkezetek - ide nem értve a magaslati kötélpályákat és kalandparkokat -, szimulátor mozi,</w:t>
      </w:r>
    </w:p>
    <w:p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vízicsúzda,</w:t>
      </w:r>
    </w:p>
    <w:p>
      <w:pPr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 tartozik továbbá, minden olyan mutatványos berendezés, amely nem sorolható az I. vagy a III. veszélyességi osztályba.</w:t>
      </w:r>
    </w:p>
    <w:p>
      <w:pPr>
        <w:ind w:left="708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III. veszélyességi osztályba tartozó berendezések: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yermekkörhinta,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nem motoros hajóhinta,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gyermekvonat,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gyermekcsónak,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gumiasztal és légvár,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céllövölde,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céldobó játék,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 méternél alacsonyabb vízicsúzda,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nyereménykerék,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markoló játék,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képfestő játék,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erőmérő és ügyességmérő játék,</w:t>
      </w:r>
    </w:p>
    <w:p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színpad, sátor, bódé </w:t>
      </w:r>
      <w:proofErr w:type="gramStart"/>
      <w:r>
        <w:rPr>
          <w:rFonts w:ascii="Calibri" w:hAnsi="Calibri" w:cs="Calibri"/>
          <w:sz w:val="24"/>
          <w:szCs w:val="24"/>
        </w:rPr>
        <w:t>tribün</w:t>
      </w:r>
      <w:proofErr w:type="gramEnd"/>
    </w:p>
    <w:p>
      <w:pPr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 tartozik továbbá a külső energiaforrásról hajtott mutatványos berendezés, ha a használója a beszállószintről 0,3 m-nél kevesebbet emelkedik és a sebessége 1,5 m/s-</w:t>
      </w:r>
      <w:proofErr w:type="spellStart"/>
      <w:r>
        <w:rPr>
          <w:rFonts w:ascii="Calibri" w:hAnsi="Calibri" w:cs="Calibri"/>
          <w:sz w:val="24"/>
          <w:szCs w:val="24"/>
        </w:rPr>
        <w:t>nál</w:t>
      </w:r>
      <w:proofErr w:type="spellEnd"/>
      <w:r>
        <w:rPr>
          <w:rFonts w:ascii="Calibri" w:hAnsi="Calibri" w:cs="Calibri"/>
          <w:sz w:val="24"/>
          <w:szCs w:val="24"/>
        </w:rPr>
        <w:t xml:space="preserve"> (5,4 km/óránál) kisebb, vagy olyan eszközök, melyeken a felhasználó a saját erejéből ugrik fel rugalmas alátámasztáson, és 1 m-nél magasabbra nem lehet felmászni.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Csak olyan mutatványos berendezés üzemeltethető, amely rendelkezik megfelelőségi tanúsítvánnyal. A megfelelőségi tanúsítványt kizárólag az üzemeltető által megbízott, kijelölt szervezet végezheti. 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változó felállítási helyen üzemeltetett mutatványos berendezések tekintetében közterületfoglalási engedély csak érvényes megfelelőségi </w:t>
      </w:r>
      <w:proofErr w:type="gramStart"/>
      <w:r>
        <w:rPr>
          <w:rFonts w:ascii="Calibri" w:hAnsi="Calibri" w:cs="Calibri"/>
          <w:sz w:val="24"/>
          <w:szCs w:val="24"/>
        </w:rPr>
        <w:t>tanúsítvány rendelkezésre</w:t>
      </w:r>
      <w:proofErr w:type="gramEnd"/>
      <w:r>
        <w:rPr>
          <w:rFonts w:ascii="Calibri" w:hAnsi="Calibri" w:cs="Calibri"/>
          <w:sz w:val="24"/>
          <w:szCs w:val="24"/>
        </w:rPr>
        <w:t xml:space="preserve"> állása esetén adható ki.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45F"/>
    <w:multiLevelType w:val="hybridMultilevel"/>
    <w:tmpl w:val="801C390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AA5DF2"/>
    <w:multiLevelType w:val="hybridMultilevel"/>
    <w:tmpl w:val="BF1419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172E72"/>
    <w:multiLevelType w:val="hybridMultilevel"/>
    <w:tmpl w:val="07FEFA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6B10EB"/>
    <w:multiLevelType w:val="hybridMultilevel"/>
    <w:tmpl w:val="9A9485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F6DAD"/>
    <w:multiLevelType w:val="hybridMultilevel"/>
    <w:tmpl w:val="8048A6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37D96"/>
    <w:multiLevelType w:val="hybridMultilevel"/>
    <w:tmpl w:val="75D261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BE"/>
    <w:rsid w:val="00115F4A"/>
    <w:rsid w:val="006460BE"/>
    <w:rsid w:val="008D6745"/>
    <w:rsid w:val="00A62E67"/>
    <w:rsid w:val="00D24CFC"/>
    <w:rsid w:val="00DC3350"/>
    <w:rsid w:val="00E92788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8F43"/>
  <w15:chartTrackingRefBased/>
  <w15:docId w15:val="{64FADB13-359D-40E0-8312-264F784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452</Words>
  <Characters>3125</Characters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LinksUpToDate>false</LinksUpToDate>
  <CharactersWithSpaces>3570</CharactersWithSpaces>
  <SharedDoc>false</SharedDoc>
  <HyperlinksChanged>false</HyperlinksChanged>
</Properties>
</file>